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Общая врачебная практика (семейная медицина) - кейс 1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Кейсы | Образование: Высшее образование | Специализация: Общая врачебная практика (семейная медицина) | Записей: 1 | Кейс: 1 | Вопросов: 12</w:t>
      </w:r>
    </w:p>
    <w:p>
      <w:r>
        <w:br w:type="page"/>
      </w:r>
    </w:p>
    <w:p>
      <w:pPr>
        <w:pStyle w:val="Heading1"/>
      </w:pPr>
      <w:r>
        <w:t>Общая врачебная практика (семейная медицина) - кейс 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Общая врачебная практика (семейная медицина)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Женщина, 68 лет, обратилась к участковому врачу-терапевту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ноющие боли в области грудины, которые возникают при быстрой ходьбе или подъеме по лестнице более 2 пролетов и проходят после 5-минутного отдыха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Вышеуказанные жалобы беспокоят в течение последних 3 месяцев.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</w:t>
        <w:tab/>
        <w:t>хронические заболевания отрицает</w:t>
        <w:br/>
        <w:t>*</w:t>
        <w:tab/>
        <w:t>не курит, алкоголем не злоупотребляет</w:t>
        <w:br/>
        <w:t>*</w:t>
        <w:tab/>
        <w:t>профессиональных вредностей не имела</w:t>
        <w:br/>
        <w:t>*</w:t>
        <w:tab/>
        <w:t>аллергических реакций не было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Общее состояние удовлетворительное. Рост 165 см, масса тела 75 кг. Кожные покровы обычной окраски и влажности. Периферических отеков нет. Щитовидная железа не визуализируется и не пальпируется. Дыхание везикулярное, хрипов нет. ЧДД 14 в 1 мин. Тоны сердца ясные, ритмичные. ЧСС 84 в 1 мин, АД 175/105 мм рт. ст. Живот мягкий, безболезненный. Печень по краю реберной дуги.</w:t>
      </w:r>
    </w:p>
    <w:p>
      <w:pPr>
        <w:pStyle w:val="Heading2"/>
      </w:pPr>
      <w:r>
        <w:t>1. План обследования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К необходимым в данной ситуации инструментальным методам исследования относятся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чреспищеводное эхокардиографическое исследование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регистрация ЭКГ в 12 отведениях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амбулаторное (суточное) мониторирование АД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трансторакальное эхокардиографическое исследование</w:t>
      </w:r>
    </w:p>
    <w:p>
      <w:pPr>
        <w:pStyle w:val="ListBullet"/>
      </w:pPr>
      <w:r>
        <w:rPr>
          <w:b/>
        </w:rPr>
        <w:t xml:space="preserve">5. </w:t>
      </w:r>
      <w:r>
        <w:rPr>
          <w:b w:val="0"/>
          <w:i w:val="0"/>
        </w:rPr>
        <w:t>амбулаторное (суточное) мониторирование ЭКГ</w:t>
      </w:r>
    </w:p>
    <w:p>
      <w:pPr>
        <w:pStyle w:val="ListBullet"/>
      </w:pPr>
      <w:r>
        <w:rPr>
          <w:b/>
        </w:rPr>
        <w:t xml:space="preserve">6. </w:t>
      </w:r>
      <w:r>
        <w:rPr>
          <w:b/>
          <w:i w:val="0"/>
          <w:color w:val="0F766E"/>
          <w:highlight w:val="yellow"/>
        </w:rPr>
        <w:t>нагрузочная проба под визуальным контролем (стресс-ЭхоКГ)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регистрация ЭКГ в 12 отведениях; трансторакальное эхокардиографическое исследование; нагрузочная проба под визуальным контролем (стресс-ЭхоКГ)</w:t>
      </w:r>
    </w:p>
    <w:p>
      <w:pPr>
        <w:ind w:left="504"/>
      </w:pPr>
      <w:r>
        <w:rPr>
          <w:b w:val="0"/>
          <w:i/>
        </w:rPr>
        <w:t>Всем пациентам с подозрением на ИБС при обращении к врачу рекомендуется выполнить электрокардиографию (ЭКГ) в покое.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Стабильная ишемическая болезнь сердца, 2024 г.</w:t>
        </w:r>
      </w:hyperlink>
      <w:r>
        <w:rPr>
          <w:b w:val="0"/>
          <w:i/>
        </w:rPr>
        <w:br/>
        <w:br/>
      </w:r>
      <w:hyperlink r:id="rId10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Трансторакальная эхокардиограмма в покое рекомендуется всем пациентам с подозрением на стабильную ИБС и при ранее доказанной стабильной ИБС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Стабильная ишемическая болезнь сердца, 2024 г.</w:t>
        </w:r>
      </w:hyperlink>
      <w:r>
        <w:rPr>
          <w:b w:val="0"/>
          <w:i/>
        </w:rPr>
        <w:br/>
        <w:br/>
      </w:r>
      <w:hyperlink r:id="rId11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Рекомендуется пациентов с промежуточной ПТВ диагноза ИБС (15–65%) направлять на дополнительные неинвазивные нагрузочные и визуализирующие диагностические исследования.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Стабильная ишемическая болезнь сердца, 2024 г.</w:t>
        </w:r>
      </w:hyperlink>
      <w:r>
        <w:rPr>
          <w:b w:val="0"/>
          <w:i/>
        </w:rPr>
        <w:br/>
        <w:br/>
      </w:r>
      <w:hyperlink r:id="rId12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</w:r>
      <w:hyperlink r:id="rId13">
        <w:r>
          <w:rPr>
            <w:color w:val="0F766E"/>
            <w:u w:val="single"/>
          </w:rPr>
          <w:t>(2)</w:t>
        </w:r>
      </w:hyperlink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К необходимым в данной ситуации лабораторным методам исследования относятся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исследование липидного спектра крови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определение уровня креатинина в крови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определение высокочувствительного тропонина I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определение калия в сыворотке крови</w:t>
      </w:r>
    </w:p>
    <w:p>
      <w:pPr>
        <w:pStyle w:val="ListBullet"/>
      </w:pPr>
      <w:r>
        <w:rPr>
          <w:b/>
        </w:rPr>
        <w:t xml:space="preserve">5. </w:t>
      </w:r>
      <w:r>
        <w:rPr>
          <w:b w:val="0"/>
          <w:i w:val="0"/>
        </w:rPr>
        <w:t>определение тиреоидных гормонов</w:t>
      </w:r>
    </w:p>
    <w:p>
      <w:pPr>
        <w:pStyle w:val="ListBullet"/>
      </w:pPr>
      <w:r>
        <w:rPr>
          <w:b/>
        </w:rPr>
        <w:t xml:space="preserve">6. </w:t>
      </w:r>
      <w:r>
        <w:rPr>
          <w:b/>
          <w:i w:val="0"/>
          <w:color w:val="0F766E"/>
          <w:highlight w:val="yellow"/>
        </w:rPr>
        <w:t>клинический анализ крови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исследование липидного спектра крови; определение уровня креатинина в крови; клинический анализ крови</w:t>
      </w:r>
    </w:p>
    <w:p>
      <w:pPr>
        <w:ind w:left="504"/>
      </w:pPr>
      <w:r>
        <w:rPr>
          <w:b w:val="0"/>
          <w:i/>
        </w:rPr>
        <w:t>Всем пациентам рекомендуется провести исследование липидного спектра крови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Стабильная ишемическая болезнь сердца, 2024 г.</w:t>
        </w:r>
      </w:hyperlink>
      <w:r>
        <w:rPr>
          <w:b w:val="0"/>
          <w:i/>
        </w:rPr>
        <w:br/>
        <w:br/>
      </w:r>
      <w:hyperlink r:id="rId14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Всем пациентам рекомендуется провести исследование уровня креатинина крови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Стабильная ишемическая болезнь сердца, 2024 г.</w:t>
        </w:r>
      </w:hyperlink>
      <w:r>
        <w:rPr>
          <w:b w:val="0"/>
          <w:i/>
        </w:rPr>
        <w:br/>
        <w:br/>
      </w:r>
      <w:hyperlink r:id="rId15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Всем пациентам рекомендуется проводить общий анализ крови с измерением уровней гемоглобина, эритроцитов и лейкоцитов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Стабильная ишемическая болезнь сердца, 2024 г.</w:t>
        </w:r>
      </w:hyperlink>
      <w:r>
        <w:rPr>
          <w:b w:val="0"/>
          <w:i/>
        </w:rPr>
        <w:br/>
        <w:br/>
      </w:r>
      <w:hyperlink r:id="rId16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2. Диагноз</w:t>
      </w:r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Жалобы пациента соответствуют клинической картине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Атипичной стенокардии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Перикардитической боли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Типичной стенокардии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Кардиалгии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Типичной стенокардии</w:t>
      </w:r>
    </w:p>
    <w:p>
      <w:pPr>
        <w:ind w:left="504"/>
      </w:pPr>
      <w:r>
        <w:rPr>
          <w:b w:val="0"/>
          <w:i/>
        </w:rPr>
        <w:t>Признаки типичной (несомненной) стенокардии напряжения:</w:t>
        <w:br/>
        <w:br/>
        <w:t>1) боль в области грудины, которая +</w:t>
        <w:br/>
        <w:t>2) возникает во время физической нагрузки, либо сильного эмоционального стресса и +</w:t>
        <w:br/>
        <w:t>3) быстро исчезает после прекращения физической нагрузки либо после приема нитроглицерина.</w:t>
        <w:br/>
        <w:br/>
        <w:t>Для подтверждения диагноза типичной (несомненной) стенокардии необходимо наличие у пациента всех трех вышеперечисленных признаков одновременно. Эквивалентом физической нагрузки может быть кризовое повышение артериального давления (АД) с увеличением нагрузки на миокард, а также обильный прием пищи.</w:t>
        <w:br/>
        <w:br/>
        <w:t>Диагноз атипичной стенокардии ставится, если у пациента присутствуют любые два из трех вышеперечисленных признаков типичной стенокардии.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Стабильная ишемическая болезнь сердца, 2024 г.</w:t>
        </w:r>
      </w:hyperlink>
      <w:r>
        <w:rPr>
          <w:b w:val="0"/>
          <w:i/>
        </w:rPr>
        <w:br/>
        <w:br/>
      </w:r>
      <w:hyperlink r:id="rId17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Жалобы пациента позволяют диагностировать стенокардию напряжения +______+ функционального класса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I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IV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II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III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II</w:t>
      </w:r>
    </w:p>
    <w:p>
      <w:pPr>
        <w:ind w:left="504"/>
      </w:pPr>
      <w:r>
        <w:rPr>
          <w:b w:val="0"/>
          <w:i/>
        </w:rPr>
        <w:t>Приступы стенокардии возникают при быстрой ходьбе и подъеме по лестнице более 2 пролетов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Стабильная ишемическая болезнь сердца, 2024 г.</w:t>
        </w:r>
      </w:hyperlink>
      <w:r>
        <w:rPr>
          <w:b w:val="0"/>
          <w:i/>
        </w:rPr>
        <w:br/>
        <w:br/>
      </w:r>
      <w:hyperlink r:id="rId18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Сопутствующим заболеванием служит гипертоническая болезнь +_____________________+ стадии. Сердечно-сосудистый риск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III; очень высокий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II; очень высокий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II; высокий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III; высокий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III; очень высокий</w:t>
      </w:r>
    </w:p>
    <w:p>
      <w:pPr>
        <w:ind w:left="504"/>
      </w:pPr>
      <w:r>
        <w:rPr>
          <w:b w:val="0"/>
          <w:i/>
        </w:rPr>
        <w:t>Диагноз ГБ III стадии устанавливается при наличии ССЗ, ЦВБ, ХБП.</w:t>
        <w:br/>
        <w:br/>
        <w:t>АГ 2-й степени соответствует уровень офисного САД 160–179 мм рт. ст. и/или ДАД 100–109 мм рт. ст.</w:t>
        <w:br/>
        <w:br/>
        <w:t>При наличии ИБС общий сердечно-сосудистый риска у больных АГ расценивается как очень высокий</w:t>
        <w:br/>
        <w:br/>
      </w:r>
      <w:hyperlink r:id="rId19">
        <w:r>
          <w:rPr>
            <w:color w:val="0F766E"/>
            <w:u w:val="single"/>
          </w:rPr>
          <w:t>Клинические рекомендации Минздрава России. Артериальная гипертензия у взрослых, 2024 г.</w:t>
        </w:r>
      </w:hyperlink>
      <w:r>
        <w:rPr>
          <w:b w:val="0"/>
          <w:i/>
        </w:rPr>
        <w:br/>
        <w:br/>
      </w:r>
      <w:hyperlink r:id="rId20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</w:r>
      <w:hyperlink r:id="rId21">
        <w:r>
          <w:rPr>
            <w:color w:val="0F766E"/>
            <w:u w:val="single"/>
          </w:rPr>
          <w:t>(2)</w:t>
        </w:r>
      </w:hyperlink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В качестве стартовой антиангинальной и антигипертензивной терапии можно назначить комбинацию +_______________+  5 мг 1 раз в день и _____ раз(-а) в день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бисопролола; верапамила 40 мг 3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бисопролола; нитросорбида 10 мг 2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амлодипина; периндоприла 5 мг 1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бисопролола; периндоприла 5 мг 1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бисопролола; периндоприла 5 мг 1</w:t>
      </w:r>
    </w:p>
    <w:p>
      <w:pPr>
        <w:ind w:left="504"/>
      </w:pPr>
      <w:r>
        <w:rPr>
          <w:b w:val="0"/>
          <w:i/>
        </w:rPr>
        <w:t>Пациентам с АГ и ИБС рекомендуется применять препараты с документально подтвержденными благоприятными эффектами при ИБС, такие как ИАПФ (БРА, если они не переносятся) и Бета-блокаторы.</w:t>
        <w:br/>
        <w:br/>
      </w:r>
      <w:hyperlink r:id="rId19">
        <w:r>
          <w:rPr>
            <w:color w:val="0F766E"/>
            <w:u w:val="single"/>
          </w:rPr>
          <w:t>Клинические рекомендации Минздрава России. Артериальная гипертензия у взрослых, 2024 г.</w:t>
        </w:r>
      </w:hyperlink>
      <w:r>
        <w:rPr>
          <w:b w:val="0"/>
          <w:i/>
        </w:rPr>
        <w:br/>
        <w:br/>
      </w:r>
      <w:hyperlink r:id="rId22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Стабильная ишемическая болезнь сердца, 2024 г.</w:t>
        </w:r>
      </w:hyperlink>
      <w:r>
        <w:rPr>
          <w:b w:val="0"/>
          <w:i/>
        </w:rPr>
        <w:br/>
        <w:br/>
      </w:r>
      <w:hyperlink r:id="rId23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При сохранении приступов стенокардии на фоне целевой ЧСС к терапии можно добавить +_____________+ мг +______+ раза в день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дилтиазем 60; 3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нитросорбид 10; 2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дилтиазем 120; 2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верапамил 40; 3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нитросорбид 10; 2</w:t>
      </w:r>
    </w:p>
    <w:p>
      <w:pPr>
        <w:ind w:left="504"/>
      </w:pPr>
      <w:r>
        <w:rPr>
          <w:b w:val="0"/>
          <w:i/>
        </w:rPr>
        <w:t>При недостаточной эффективности препаратов 1-й линии у пациентов со стабильной стенокардией рекомендуется добавить к лечению один из препаратов 2-й линии (органические нитраты или ивабрадин**, или триметазидин, ранолазин, или никорандил) — в зависимости от АД, ЧСС и переносимости профилактики приступов стенокардии и достижения ФК I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Стабильная ишемическая болезнь сердца, 2024 г.</w:t>
        </w:r>
      </w:hyperlink>
      <w:r>
        <w:rPr>
          <w:b w:val="0"/>
          <w:i/>
        </w:rPr>
        <w:br/>
        <w:br/>
      </w:r>
      <w:hyperlink r:id="rId24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3. Лечение</w:t>
      </w:r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Для профилактики сердечно-сосудистых осложнений пациентке назначена ацетилсалициловая кислота в дозе 100 мг 1 р/сутки, а также назначен статин (аторвастатин) в дозе, обеспечивающей уровень ХС ЛПНП не выше +_____+ ммоль/л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3,5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1,4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2,2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5,5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1,4</w:t>
      </w:r>
    </w:p>
    <w:p>
      <w:pPr>
        <w:ind w:left="504"/>
      </w:pPr>
      <w:r>
        <w:rPr>
          <w:b w:val="0"/>
          <w:i/>
        </w:rPr>
        <w:t>Для профилактики ССО всем пациентам со стабильной ИБС рекомендуется назначить ингибиторы ГМГ-КоА-редуктазы (статины) в максимально переносимой дозировке до достижения целевого уровня ХсЛНП (&lt;1,4 ммоль/л) и его снижения на 50% от исходного уровня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Стабильная ишемическая болезнь сердца, 2024 г.</w:t>
        </w:r>
      </w:hyperlink>
      <w:r>
        <w:rPr>
          <w:b w:val="0"/>
          <w:i/>
        </w:rPr>
        <w:br/>
        <w:br/>
      </w:r>
      <w:hyperlink r:id="rId25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Прием  статина требует контроля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ГГТП, ЩФ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креатинина, мочевой кислоты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АСТ, АЛТ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электролитов крови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АСТ, АЛТ</w:t>
      </w:r>
    </w:p>
    <w:p>
      <w:pPr>
        <w:ind w:left="504"/>
      </w:pPr>
      <w:r>
        <w:rPr>
          <w:b w:val="0"/>
          <w:i/>
        </w:rPr>
        <w:t>Активность в плазме крови аланинаминотрасферазы (АЛТ) и аспартатаминотрансферазы (АСТ) практикующие врачи часто используют для оценки функциональных нарушений печени (референсные значения аминотрансфераз – у женщин &lt;40 Ед/л, у мужчин &lt;40 Ед/л). При заболеваниях печени по АЛТ судят об активности поражения: минимальная активность – повышение в 1,5-4 раза, умеренная активность – повышение в 5-10 раз, высокая активность – ≥ 10 раз.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Стабильная ишемическая болезнь сердца, 2024 г.</w:t>
        </w:r>
      </w:hyperlink>
      <w:r>
        <w:rPr>
          <w:b w:val="0"/>
          <w:i/>
        </w:rPr>
        <w:br/>
        <w:br/>
      </w:r>
      <w:hyperlink r:id="rId26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В данной клинической ситуации (АСТ, АЛТ увеличены в пределах 2-х норм) прием статина следует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заменить на эзетимиб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продолжить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отменить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продолжить в сниженной дозе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продолжить</w:t>
      </w:r>
    </w:p>
    <w:p>
      <w:pPr>
        <w:ind w:left="504"/>
      </w:pPr>
      <w:r>
        <w:rPr>
          <w:b w:val="0"/>
          <w:i/>
        </w:rPr>
        <w:t>Действия врача при выявлении повышенного уровня АЛТ на фоне гиполипидемической терапии: повышение АЛТ &lt; 3 N - продолжить гиполипидемическую терапию, повторный контроль АЛТ через 4–6 нед.</w:t>
        <w:br/>
        <w:br/>
      </w:r>
      <w:hyperlink r:id="rId27">
        <w:r>
          <w:rPr>
            <w:color w:val="0F766E"/>
            <w:u w:val="single"/>
          </w:rPr>
          <w:t>Клинические рекомендации Минздрава России. Нарушения липидного обмена, 2023 г.</w:t>
        </w:r>
      </w:hyperlink>
      <w:r>
        <w:rPr>
          <w:b w:val="0"/>
          <w:i/>
        </w:rPr>
        <w:br/>
        <w:br/>
      </w:r>
      <w:hyperlink r:id="rId28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При продолжении терапии статинами на фоне повышеннных до 3-х норм АСТ, АЛТ необходимо проконтролировать  эти показатели через +_____+ недель(-и)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2-3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10-12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4-6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7-8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4-6</w:t>
      </w:r>
    </w:p>
    <w:p>
      <w:pPr>
        <w:ind w:left="504"/>
      </w:pPr>
      <w:r>
        <w:rPr>
          <w:b w:val="0"/>
          <w:i/>
        </w:rPr>
        <w:t>Если AЛT &lt;3 ВГН, следует:</w:t>
        <w:br/>
        <w:br/>
        <w:t>- Продолжать терапию.</w:t>
        <w:br/>
        <w:br/>
        <w:t>- Повторный контроль АЛТ через 4-6 недель.</w:t>
        <w:br/>
        <w:br/>
      </w:r>
      <w:hyperlink r:id="rId27">
        <w:r>
          <w:rPr>
            <w:color w:val="0F766E"/>
            <w:u w:val="single"/>
          </w:rPr>
          <w:t>Клинические рекомендации Минздрава России. Нарушения липидного обмена, 2023 г.</w:t>
        </w:r>
      </w:hyperlink>
      <w:r>
        <w:rPr>
          <w:b w:val="0"/>
          <w:i/>
        </w:rPr>
        <w:br/>
        <w:br/>
      </w:r>
      <w:hyperlink r:id="rId28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В случае, когда у пациентов не удается достичь целевой уровень ХС ЛНП  на монотерапии статинами, следует прибегнуть к комбинированной терапии, добавляя к статинам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сибутрамин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цетуксимаб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лираглутид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эзетимиб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эзетимиб</w:t>
      </w:r>
    </w:p>
    <w:p>
      <w:pPr>
        <w:ind w:left="504"/>
      </w:pPr>
      <w:r>
        <w:rPr>
          <w:b w:val="0"/>
          <w:i/>
        </w:rPr>
        <w:t>При невозможности достижения у пациентов со стабильной ИБС целевого уровня ХсЛНП (&lt;1,4 ммоль/л) и его снижения на 50% от исходного уровня на фоне максимальных переносимых доз ингибиторов ГМГ-КоА-редуктазы, или у пациентов с непереносимостью ингибиторов ГМГ-КоА-редуктазы, рекомендуется к лечению добавить эзетимиб для профилактики ССО.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Стабильная ишемическая болезнь сердца, 2024 г.</w:t>
        </w:r>
      </w:hyperlink>
      <w:r>
        <w:rPr>
          <w:b w:val="0"/>
          <w:i/>
        </w:rPr>
        <w:br/>
        <w:br/>
      </w:r>
      <w:hyperlink r:id="rId29">
        <w:r>
          <w:rPr>
            <w:color w:val="0F766E"/>
            <w:u w:val="single"/>
          </w:rPr>
          <w:t>(1)</w:t>
        </w:r>
      </w:hyperlink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library.mededtech.ru/rest/documents/KP155_24/" TargetMode="External"/><Relationship Id="rId10" Type="http://schemas.openxmlformats.org/officeDocument/2006/relationships/hyperlink" Target="https://library.mededtech.ru/rest/documents/KP155_24/#list_item_udpfta" TargetMode="External"/><Relationship Id="rId11" Type="http://schemas.openxmlformats.org/officeDocument/2006/relationships/hyperlink" Target="https://library.mededtech.ru/rest/documents/KP155_24/#list_item_2p39pm" TargetMode="External"/><Relationship Id="rId12" Type="http://schemas.openxmlformats.org/officeDocument/2006/relationships/hyperlink" Target="https://library.mededtech.ru/rest/documents/KP155_24/#list_item_j6flg9" TargetMode="External"/><Relationship Id="rId13" Type="http://schemas.openxmlformats.org/officeDocument/2006/relationships/hyperlink" Target="https://library.mededtech.ru/rest/documents/KP155_24/#list_item_n1i1eo" TargetMode="External"/><Relationship Id="rId14" Type="http://schemas.openxmlformats.org/officeDocument/2006/relationships/hyperlink" Target="https://library.mededtech.ru/rest/documents/KP155_24/#list_item_ike75r" TargetMode="External"/><Relationship Id="rId15" Type="http://schemas.openxmlformats.org/officeDocument/2006/relationships/hyperlink" Target="https://library.mededtech.ru/rest/documents/KP155_24/#list_item_du74n4" TargetMode="External"/><Relationship Id="rId16" Type="http://schemas.openxmlformats.org/officeDocument/2006/relationships/hyperlink" Target="https://library.mededtech.ru/rest/documents/KP155_24/#list_item_f77pd5" TargetMode="External"/><Relationship Id="rId17" Type="http://schemas.openxmlformats.org/officeDocument/2006/relationships/hyperlink" Target="https://library.mededtech.ru/rest/documents/KP155_24/#paragraph_sato36" TargetMode="External"/><Relationship Id="rId18" Type="http://schemas.openxmlformats.org/officeDocument/2006/relationships/hyperlink" Target="https://library.mededtech.ru/rest/documents/KP155_24/#table&#1055;&#1040;3-1" TargetMode="External"/><Relationship Id="rId19" Type="http://schemas.openxmlformats.org/officeDocument/2006/relationships/hyperlink" Target="https://library.mededtech.ru/rest/documents/KP62_24/" TargetMode="External"/><Relationship Id="rId20" Type="http://schemas.openxmlformats.org/officeDocument/2006/relationships/hyperlink" Target="https://library.mededtech.ru/rest/documents/KP62_24/#paragraph_02knai" TargetMode="External"/><Relationship Id="rId21" Type="http://schemas.openxmlformats.org/officeDocument/2006/relationships/hyperlink" Target="https://library.mededtech.ru/rest/documents/KP62_24/#image_8f2fuc" TargetMode="External"/><Relationship Id="rId22" Type="http://schemas.openxmlformats.org/officeDocument/2006/relationships/hyperlink" Target="https://library.mededtech.ru/rest/documents/KP62_24/#list_item_nmus38" TargetMode="External"/><Relationship Id="rId23" Type="http://schemas.openxmlformats.org/officeDocument/2006/relationships/hyperlink" Target="https://library.mededtech.ru/rest/documents/KP155_24/#paragraph_j923io" TargetMode="External"/><Relationship Id="rId24" Type="http://schemas.openxmlformats.org/officeDocument/2006/relationships/hyperlink" Target="https://library.mededtech.ru/rest/documents/KP155_24/#list_item_m5f4gh" TargetMode="External"/><Relationship Id="rId25" Type="http://schemas.openxmlformats.org/officeDocument/2006/relationships/hyperlink" Target="https://library.mededtech.ru/rest/documents/KP155_24/#list_item_mrogbv" TargetMode="External"/><Relationship Id="rId26" Type="http://schemas.openxmlformats.org/officeDocument/2006/relationships/hyperlink" Target="https://library.mededtech.ru/rest/documents/KP155_24/#list_item_63igg7" TargetMode="External"/><Relationship Id="rId27" Type="http://schemas.openxmlformats.org/officeDocument/2006/relationships/hyperlink" Target="https://library.mededtech.ru/rest/documents/KP752/" TargetMode="External"/><Relationship Id="rId28" Type="http://schemas.openxmlformats.org/officeDocument/2006/relationships/hyperlink" Target="https://library.mededtech.ru/rest/documents/KP752/#tab_b1" TargetMode="External"/><Relationship Id="rId29" Type="http://schemas.openxmlformats.org/officeDocument/2006/relationships/hyperlink" Target="https://library.mededtech.ru/rest/documents/KP155_24/#list_item_klc6cj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